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2C" w:rsidRDefault="009B592C" w:rsidP="009B592C">
      <w:pPr>
        <w:ind w:left="3240"/>
        <w:jc w:val="right"/>
        <w:rPr>
          <w:rFonts w:ascii="Impact" w:hAnsi="Impact"/>
          <w:spacing w:val="1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89535</wp:posOffset>
            </wp:positionV>
            <wp:extent cx="1524000" cy="952500"/>
            <wp:effectExtent l="19050" t="0" r="0" b="0"/>
            <wp:wrapNone/>
            <wp:docPr id="3" name="Рисунок 3" descr="Эксплуатация_эмблем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плуатация_эмблема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/>
          <w:spacing w:val="100"/>
          <w:sz w:val="44"/>
          <w:szCs w:val="44"/>
        </w:rPr>
        <w:t>ООО «ЭКСПЛУАТАЦИЯ»</w:t>
      </w:r>
    </w:p>
    <w:p w:rsidR="009B592C" w:rsidRPr="00C73CD3" w:rsidRDefault="009B592C" w:rsidP="009B592C">
      <w:pPr>
        <w:spacing w:after="0" w:line="240" w:lineRule="auto"/>
        <w:ind w:left="3240"/>
        <w:jc w:val="right"/>
        <w:rPr>
          <w:rFonts w:ascii="Arial Narrow" w:hAnsi="Arial Narrow" w:cs="Arial"/>
          <w:spacing w:val="-4"/>
          <w:sz w:val="20"/>
          <w:szCs w:val="20"/>
        </w:rPr>
      </w:pPr>
      <w:r w:rsidRPr="00C73CD3">
        <w:rPr>
          <w:rFonts w:ascii="Arial Narrow" w:hAnsi="Arial Narrow" w:cs="Arial"/>
          <w:spacing w:val="-4"/>
          <w:sz w:val="20"/>
          <w:szCs w:val="20"/>
        </w:rPr>
        <w:t xml:space="preserve">Юр. адрес: </w:t>
      </w:r>
      <w:r w:rsidRPr="00AC6458">
        <w:rPr>
          <w:rFonts w:ascii="Arial Narrow" w:hAnsi="Arial Narrow" w:cs="Arial"/>
          <w:spacing w:val="-4"/>
          <w:sz w:val="20"/>
          <w:szCs w:val="20"/>
        </w:rPr>
        <w:t xml:space="preserve">150001, г. Ярославль,  ул. Малая Пролетарская, д. 41а, </w:t>
      </w:r>
      <w:proofErr w:type="spellStart"/>
      <w:r w:rsidRPr="00AC6458">
        <w:rPr>
          <w:rFonts w:ascii="Arial Narrow" w:hAnsi="Arial Narrow" w:cs="Arial"/>
          <w:spacing w:val="-4"/>
          <w:sz w:val="20"/>
          <w:szCs w:val="20"/>
        </w:rPr>
        <w:t>пом</w:t>
      </w:r>
      <w:proofErr w:type="spellEnd"/>
      <w:r w:rsidRPr="00AC6458">
        <w:rPr>
          <w:rFonts w:ascii="Arial Narrow" w:hAnsi="Arial Narrow" w:cs="Arial"/>
          <w:spacing w:val="-4"/>
          <w:sz w:val="20"/>
          <w:szCs w:val="20"/>
        </w:rPr>
        <w:t>. 18</w:t>
      </w:r>
      <w:r w:rsidRPr="00C73CD3">
        <w:rPr>
          <w:rFonts w:ascii="Arial Narrow" w:hAnsi="Arial Narrow" w:cs="Arial"/>
          <w:spacing w:val="-4"/>
          <w:sz w:val="20"/>
          <w:szCs w:val="20"/>
        </w:rPr>
        <w:t>,</w:t>
      </w:r>
    </w:p>
    <w:p w:rsidR="009B592C" w:rsidRPr="00C73CD3" w:rsidRDefault="009B592C" w:rsidP="009B592C">
      <w:pPr>
        <w:spacing w:after="0" w:line="240" w:lineRule="auto"/>
        <w:ind w:left="2127"/>
        <w:jc w:val="right"/>
        <w:rPr>
          <w:rFonts w:ascii="Arial Narrow" w:hAnsi="Arial Narrow" w:cs="Arial"/>
          <w:spacing w:val="-4"/>
          <w:sz w:val="20"/>
          <w:szCs w:val="20"/>
        </w:rPr>
      </w:pPr>
      <w:r w:rsidRPr="00C73CD3">
        <w:rPr>
          <w:rFonts w:ascii="Arial Narrow" w:hAnsi="Arial Narrow" w:cs="Arial"/>
          <w:spacing w:val="-4"/>
          <w:sz w:val="20"/>
          <w:szCs w:val="20"/>
        </w:rPr>
        <w:t>тел./факс (4852) 45-98-25, 944-993, ИНН 7604175197, КПП 760401001,</w:t>
      </w:r>
    </w:p>
    <w:p w:rsidR="009B592C" w:rsidRPr="00C73CD3" w:rsidRDefault="009B592C" w:rsidP="009B592C">
      <w:pPr>
        <w:spacing w:after="0" w:line="240" w:lineRule="auto"/>
        <w:ind w:left="2127"/>
        <w:jc w:val="right"/>
        <w:rPr>
          <w:rFonts w:ascii="Arial Narrow" w:hAnsi="Arial Narrow" w:cs="Arial"/>
          <w:spacing w:val="-4"/>
          <w:sz w:val="20"/>
          <w:szCs w:val="20"/>
        </w:rPr>
      </w:pPr>
      <w:r w:rsidRPr="00C73CD3">
        <w:rPr>
          <w:rFonts w:ascii="Arial Narrow" w:hAnsi="Arial Narrow" w:cs="Arial"/>
          <w:spacing w:val="-4"/>
          <w:sz w:val="20"/>
          <w:szCs w:val="20"/>
        </w:rPr>
        <w:t>ОГРН 1107604001768</w:t>
      </w:r>
    </w:p>
    <w:p w:rsidR="009B592C" w:rsidRPr="00AC6458" w:rsidRDefault="009B592C" w:rsidP="009B592C">
      <w:pPr>
        <w:spacing w:after="0" w:line="240" w:lineRule="auto"/>
        <w:jc w:val="right"/>
        <w:rPr>
          <w:rFonts w:ascii="Arial Narrow" w:hAnsi="Arial Narrow" w:cs="Arial"/>
          <w:spacing w:val="-4"/>
          <w:sz w:val="20"/>
          <w:szCs w:val="20"/>
        </w:rPr>
      </w:pPr>
      <w:proofErr w:type="spellStart"/>
      <w:r w:rsidRPr="00AC6458">
        <w:rPr>
          <w:rFonts w:ascii="Arial Narrow" w:hAnsi="Arial Narrow" w:cs="Arial"/>
          <w:spacing w:val="-4"/>
          <w:sz w:val="20"/>
          <w:szCs w:val="20"/>
        </w:rPr>
        <w:t>Расч</w:t>
      </w:r>
      <w:proofErr w:type="spellEnd"/>
      <w:r w:rsidRPr="00AC6458">
        <w:rPr>
          <w:rFonts w:ascii="Arial Narrow" w:hAnsi="Arial Narrow" w:cs="Arial"/>
          <w:spacing w:val="-4"/>
          <w:sz w:val="20"/>
          <w:szCs w:val="20"/>
        </w:rPr>
        <w:t>./</w:t>
      </w:r>
      <w:proofErr w:type="spellStart"/>
      <w:r w:rsidRPr="00AC6458">
        <w:rPr>
          <w:rFonts w:ascii="Arial Narrow" w:hAnsi="Arial Narrow" w:cs="Arial"/>
          <w:spacing w:val="-4"/>
          <w:sz w:val="20"/>
          <w:szCs w:val="20"/>
        </w:rPr>
        <w:t>сч</w:t>
      </w:r>
      <w:proofErr w:type="spellEnd"/>
      <w:r w:rsidRPr="00AC6458">
        <w:rPr>
          <w:rFonts w:ascii="Arial Narrow" w:hAnsi="Arial Narrow" w:cs="Arial"/>
          <w:spacing w:val="-4"/>
          <w:sz w:val="20"/>
          <w:szCs w:val="20"/>
        </w:rPr>
        <w:t>.  № 40702810702910002899в АО "АЛЬФА-БАНК",</w:t>
      </w:r>
    </w:p>
    <w:p w:rsidR="009B592C" w:rsidRPr="002728CD" w:rsidRDefault="009B592C" w:rsidP="009B592C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proofErr w:type="spellStart"/>
      <w:r w:rsidRPr="00C73CD3">
        <w:rPr>
          <w:rFonts w:ascii="Arial Narrow" w:hAnsi="Arial Narrow" w:cs="Arial"/>
          <w:spacing w:val="-4"/>
          <w:sz w:val="20"/>
          <w:szCs w:val="20"/>
        </w:rPr>
        <w:t>Кор</w:t>
      </w:r>
      <w:proofErr w:type="spellEnd"/>
      <w:r w:rsidRPr="00C73CD3">
        <w:rPr>
          <w:rFonts w:ascii="Arial Narrow" w:hAnsi="Arial Narrow" w:cs="Arial"/>
          <w:spacing w:val="-4"/>
          <w:sz w:val="20"/>
          <w:szCs w:val="20"/>
        </w:rPr>
        <w:t>./</w:t>
      </w:r>
      <w:proofErr w:type="spellStart"/>
      <w:r w:rsidRPr="00C73CD3">
        <w:rPr>
          <w:rFonts w:ascii="Arial Narrow" w:hAnsi="Arial Narrow" w:cs="Arial"/>
          <w:spacing w:val="-4"/>
          <w:sz w:val="20"/>
          <w:szCs w:val="20"/>
        </w:rPr>
        <w:t>сч</w:t>
      </w:r>
      <w:proofErr w:type="spellEnd"/>
      <w:r w:rsidRPr="00C73CD3">
        <w:rPr>
          <w:rFonts w:ascii="Arial Narrow" w:hAnsi="Arial Narrow" w:cs="Arial"/>
          <w:spacing w:val="-4"/>
          <w:sz w:val="20"/>
          <w:szCs w:val="20"/>
        </w:rPr>
        <w:t xml:space="preserve">. </w:t>
      </w:r>
      <w:r w:rsidRPr="00500FD3">
        <w:rPr>
          <w:rFonts w:ascii="Arial Narrow" w:hAnsi="Arial Narrow"/>
          <w:bCs/>
          <w:sz w:val="18"/>
          <w:szCs w:val="18"/>
        </w:rPr>
        <w:t>30101810200000000593</w:t>
      </w:r>
      <w:r>
        <w:rPr>
          <w:rFonts w:ascii="Arial Narrow" w:hAnsi="Arial Narrow"/>
          <w:bCs/>
          <w:sz w:val="18"/>
          <w:szCs w:val="18"/>
        </w:rPr>
        <w:t>,</w:t>
      </w:r>
      <w:r w:rsidRPr="00500FD3">
        <w:rPr>
          <w:rFonts w:ascii="Arial Narrow" w:hAnsi="Arial Narrow"/>
          <w:bCs/>
          <w:sz w:val="18"/>
          <w:szCs w:val="18"/>
        </w:rPr>
        <w:t xml:space="preserve"> </w:t>
      </w:r>
      <w:r w:rsidRPr="002728CD">
        <w:rPr>
          <w:rFonts w:ascii="Arial Narrow" w:hAnsi="Arial Narrow" w:cs="Arial"/>
          <w:sz w:val="20"/>
          <w:szCs w:val="20"/>
        </w:rPr>
        <w:t>БИК</w:t>
      </w:r>
      <w:r w:rsidRPr="00500FD3">
        <w:rPr>
          <w:rFonts w:ascii="Arial Narrow" w:hAnsi="Arial Narrow" w:cs="Arial"/>
          <w:sz w:val="20"/>
          <w:szCs w:val="20"/>
        </w:rPr>
        <w:t>044525593</w:t>
      </w:r>
    </w:p>
    <w:p w:rsidR="009B592C" w:rsidRDefault="009B592C" w:rsidP="007E4C96">
      <w:pPr>
        <w:rPr>
          <w:sz w:val="28"/>
          <w:u w:val="single"/>
        </w:rPr>
      </w:pPr>
    </w:p>
    <w:p w:rsidR="009B592C" w:rsidRDefault="009B592C" w:rsidP="009B592C">
      <w:pPr>
        <w:jc w:val="center"/>
        <w:rPr>
          <w:b/>
          <w:sz w:val="28"/>
          <w:u w:val="single"/>
        </w:rPr>
      </w:pPr>
    </w:p>
    <w:p w:rsidR="007E4C96" w:rsidRPr="009B592C" w:rsidRDefault="007E4C96" w:rsidP="009B592C">
      <w:pPr>
        <w:jc w:val="center"/>
        <w:rPr>
          <w:b/>
          <w:sz w:val="28"/>
          <w:u w:val="single"/>
        </w:rPr>
      </w:pPr>
      <w:r w:rsidRPr="009B592C">
        <w:rPr>
          <w:b/>
          <w:sz w:val="28"/>
          <w:u w:val="single"/>
        </w:rPr>
        <w:t>Дезинфицирующее средство АЛЬБАВЕТ</w:t>
      </w:r>
    </w:p>
    <w:p w:rsidR="007E4C96" w:rsidRDefault="007E4C96" w:rsidP="007E4C96">
      <w:pPr>
        <w:rPr>
          <w:rFonts w:ascii="Tahoma" w:eastAsia="Tahoma" w:hAnsi="Tahoma" w:cs="Tahoma"/>
        </w:rPr>
      </w:pPr>
      <w:r>
        <w:t>Назначение:</w:t>
      </w:r>
      <w:r>
        <w:rPr>
          <w:rFonts w:ascii="Tahoma" w:eastAsia="Tahoma" w:hAnsi="Tahoma" w:cs="Tahoma"/>
        </w:rPr>
        <w:t>  для дезинфекции, ПСО и стерилизации</w:t>
      </w:r>
    </w:p>
    <w:p w:rsidR="007E4C96" w:rsidRDefault="007E4C96" w:rsidP="007E4C96">
      <w:r>
        <w:t xml:space="preserve">Дезинфекция жесткой мебели, предметов обстановки, поверхностей аппаратов, приборов, санитарно-технического оборудования, дезинфекция воздуха, систем </w:t>
      </w:r>
      <w:proofErr w:type="gramStart"/>
      <w:r>
        <w:t>вентиля</w:t>
      </w:r>
      <w:r w:rsidRPr="007E4C9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361315</wp:posOffset>
            </wp:positionV>
            <wp:extent cx="2390775" cy="2390775"/>
            <wp:effectExtent l="19050" t="0" r="9525" b="0"/>
            <wp:wrapThrough wrapText="bothSides">
              <wp:wrapPolygon edited="0">
                <wp:start x="-172" y="0"/>
                <wp:lineTo x="-172" y="21514"/>
                <wp:lineTo x="21686" y="21514"/>
                <wp:lineTo x="21686" y="0"/>
                <wp:lineTo x="-172" y="0"/>
              </wp:wrapPolygon>
            </wp:wrapThrough>
            <wp:docPr id="9" name="Рисунок 1" descr="C:\Users\user2\Documents\ViberDownloads\0-02-0a-336c8437cefeb37b87700acbe38ab5b1cc8f73d3998ffbd6828d778b50473910_9f5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cuments\ViberDownloads\0-02-0a-336c8437cefeb37b87700acbe38ab5b1cc8f73d3998ffbd6828d778b50473910_9f5b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ции</w:t>
      </w:r>
      <w:proofErr w:type="gramEnd"/>
      <w:r>
        <w:t xml:space="preserve">. </w:t>
      </w:r>
      <w:proofErr w:type="spellStart"/>
      <w:r>
        <w:t>Предстерилизационная</w:t>
      </w:r>
      <w:proofErr w:type="spellEnd"/>
      <w:r>
        <w:t xml:space="preserve"> очистка и стерилизация </w:t>
      </w:r>
      <w:proofErr w:type="gramStart"/>
      <w:r>
        <w:t>изделии</w:t>
      </w:r>
      <w:proofErr w:type="gramEnd"/>
      <w:r>
        <w:t xml:space="preserve"> медицинского назначения в т.ч. - хирургические и стоматологические инструменты, эндоскопы и инструменты к ним. В </w:t>
      </w:r>
      <w:proofErr w:type="gramStart"/>
      <w:r>
        <w:t>качестве</w:t>
      </w:r>
      <w:proofErr w:type="gramEnd"/>
      <w:r>
        <w:t xml:space="preserve"> ДВ содержит активный кислород (12-15%).  </w:t>
      </w:r>
    </w:p>
    <w:p w:rsidR="007E4C96" w:rsidRDefault="007E4C96" w:rsidP="007E4C96">
      <w:r>
        <w:t>в лечебно-профилактических, детских дошкольных, школьных и других общеобразовательных и оздоровительных учреждениях, на коммунальных объектах, пенитенциарных и других учреждениях;</w:t>
      </w:r>
    </w:p>
    <w:p w:rsidR="007E4C96" w:rsidRDefault="007E4C96" w:rsidP="007E4C96">
      <w:r>
        <w:t xml:space="preserve">в ЛПУ (включая клинические, диагностические и бактериологические лаборатории, отделения </w:t>
      </w:r>
      <w:proofErr w:type="spellStart"/>
      <w:r>
        <w:t>неонатологии</w:t>
      </w:r>
      <w:proofErr w:type="spellEnd"/>
      <w:r>
        <w:t>, роддома, палаты новорожденных), в детских и пенитенциарных учреждениях, в инфекционных очагах;</w:t>
      </w:r>
    </w:p>
    <w:p w:rsidR="007E4C96" w:rsidRDefault="007E4C96" w:rsidP="007E4C96">
      <w:proofErr w:type="gramStart"/>
      <w:r>
        <w:t>на предприятиях общественного питания и торговли, потребительских рынках, коммунальных объектах, гостиницах, общежитиях, бассейнах, банях, саунах, аквапарках, прачечных, местах массового скопления людей;</w:t>
      </w:r>
      <w:proofErr w:type="gramEnd"/>
    </w:p>
    <w:p w:rsidR="007E4C96" w:rsidRDefault="007E4C96" w:rsidP="007E4C96">
      <w:r>
        <w:t xml:space="preserve">на предприятиях фармацевтической и </w:t>
      </w:r>
      <w:proofErr w:type="spellStart"/>
      <w:r>
        <w:t>биотехнологической</w:t>
      </w:r>
      <w:proofErr w:type="spellEnd"/>
      <w:r>
        <w:t xml:space="preserve"> промышленности по производству нестерильных лекарственных сре</w:t>
      </w:r>
      <w:proofErr w:type="gramStart"/>
      <w:r>
        <w:t>дств в п</w:t>
      </w:r>
      <w:proofErr w:type="gramEnd"/>
      <w:r>
        <w:t>омещениях классов чистоты С и D;</w:t>
      </w:r>
    </w:p>
    <w:p w:rsidR="007E4C96" w:rsidRDefault="007E4C96" w:rsidP="007E4C96">
      <w:r>
        <w:t>в моргах и зданиях патологоанатомических служб, учреждениях судебно-медицинской экспертизы, в колумбариях, крематориях, похоронных бюро и бюро-магазинах, домах траурных обрядов, других зданиях и сооружениях организаций, оказывающих ритуальные и похоронные услуги, а также для обработки катафалков;</w:t>
      </w:r>
    </w:p>
    <w:p w:rsidR="007E4C96" w:rsidRDefault="007E4C96" w:rsidP="007E4C96">
      <w:r>
        <w:t>парикмахерских, массажных и косметических салонах, салонах красоты, прачечных, клубах,  других объектов сферы обслуживания населения;</w:t>
      </w:r>
    </w:p>
    <w:p w:rsidR="007E4C96" w:rsidRDefault="007E4C96" w:rsidP="007E4C96">
      <w:r>
        <w:t>санитарного транспорта и транспорта для пищевых продуктов, перевозимых в упаковке;</w:t>
      </w:r>
    </w:p>
    <w:p w:rsidR="007E4C96" w:rsidRDefault="007E4C96" w:rsidP="007E4C96">
      <w:r>
        <w:t>стоматологических помещений, оборудования и материалов</w:t>
      </w:r>
      <w:proofErr w:type="gramStart"/>
      <w:r>
        <w:t xml:space="preserve"> ;</w:t>
      </w:r>
      <w:proofErr w:type="gramEnd"/>
    </w:p>
    <w:p w:rsidR="007E4C96" w:rsidRDefault="007E4C96" w:rsidP="007E4C96">
      <w:r>
        <w:t>помещений при поражении плесневыми грибами;</w:t>
      </w:r>
    </w:p>
    <w:p w:rsidR="007E4C96" w:rsidRDefault="007E4C96" w:rsidP="007E4C96">
      <w:r>
        <w:t>в очагах особо опасных инфекций</w:t>
      </w:r>
      <w:proofErr w:type="gramStart"/>
      <w:r>
        <w:t xml:space="preserve"> ;</w:t>
      </w:r>
      <w:proofErr w:type="gramEnd"/>
    </w:p>
    <w:p w:rsidR="007E4C96" w:rsidRDefault="007E4C96" w:rsidP="007E4C96">
      <w:r>
        <w:t>холодильных камер, холодильных установок и холодильных помещений на предприятиях и в учреждениях любого профиля;</w:t>
      </w:r>
    </w:p>
    <w:p w:rsidR="007E4C96" w:rsidRDefault="007E4C96" w:rsidP="007E4C96">
      <w:r>
        <w:t>объектов транспорта, включая салоны санитарного автотранспорта, транспорта для перевозки пищевых продуктов, а также к применению на объектах железнодорожного транспорта, вагоны пассажирских составов различного типа, вагоны метрополитена.</w:t>
      </w:r>
    </w:p>
    <w:p w:rsidR="007E4C96" w:rsidRDefault="007E4C96" w:rsidP="007E4C96">
      <w:r>
        <w:t xml:space="preserve">Представляет собой кристаллический порошок от белого до светло-желтого цвета, с незначительным характерным запахом. Средство содержит в своем составе 92% </w:t>
      </w:r>
      <w:proofErr w:type="spellStart"/>
      <w:r>
        <w:t>пероксигидрата</w:t>
      </w:r>
      <w:proofErr w:type="spellEnd"/>
      <w:r>
        <w:t xml:space="preserve"> мочевины в качестве действующего вещества, а также активатор и вспомогательный компонент. Содержание активного кислорода в средстве 12-15%., </w:t>
      </w:r>
      <w:proofErr w:type="spellStart"/>
      <w:r>
        <w:t>рН</w:t>
      </w:r>
      <w:proofErr w:type="spellEnd"/>
      <w:r>
        <w:t xml:space="preserve"> 1% водного раствора средства (по </w:t>
      </w:r>
      <w:r>
        <w:lastRenderedPageBreak/>
        <w:t>препарату) 2,0-4,0. Средство имеет хорошие моющие свойства, не портит обрабатываемые объекты, не фиксирует органические загрязнения, не вызывает коррозии металлов.</w:t>
      </w:r>
    </w:p>
    <w:p w:rsidR="007E4C96" w:rsidRDefault="007E4C96" w:rsidP="007E4C96">
      <w:r>
        <w:t>Не допускается использование средства для обработки изделий из меди и латуни!</w:t>
      </w:r>
    </w:p>
    <w:p w:rsidR="007E4C96" w:rsidRDefault="007E4C96" w:rsidP="007E4C96">
      <w:proofErr w:type="gramStart"/>
      <w:r>
        <w:t>Обладает </w:t>
      </w:r>
      <w:proofErr w:type="spellStart"/>
      <w:r>
        <w:t>антимикробной</w:t>
      </w:r>
      <w:proofErr w:type="spellEnd"/>
      <w:r>
        <w:t xml:space="preserve"> активностью в отношении грамотрицательных и грамположительных (включая микобактерии туберкулеза) микроорганизмов, вирусов (в отношении всех известных </w:t>
      </w:r>
      <w:proofErr w:type="spellStart"/>
      <w:r>
        <w:t>вирусов-патогенов</w:t>
      </w:r>
      <w:proofErr w:type="spellEnd"/>
      <w:r>
        <w:t xml:space="preserve"> человека, в том числе вирусов гепатитов (в  т.ч. гепатита А, В и С), ВИЧ, полиомиелита, аденовирусов, вирусов «</w:t>
      </w:r>
      <w:proofErr w:type="spellStart"/>
      <w:r>
        <w:t>атипичной</w:t>
      </w:r>
      <w:proofErr w:type="spellEnd"/>
      <w:r>
        <w:t xml:space="preserve"> пневмонии» (SARS), «птичьего» гриппа H5N1, «свиного» гриппа, гриппа человека, герпеса и др.), грибов рода </w:t>
      </w:r>
      <w:proofErr w:type="spellStart"/>
      <w:r>
        <w:t>Кандида</w:t>
      </w:r>
      <w:proofErr w:type="spellEnd"/>
      <w:r>
        <w:t>, Трихофитон и плесневых грибов, возбудителей внутрибольничных инфекций, анаэробной</w:t>
      </w:r>
      <w:proofErr w:type="gramEnd"/>
      <w:r>
        <w:t xml:space="preserve"> инфекции; средство обладает </w:t>
      </w:r>
      <w:proofErr w:type="spellStart"/>
      <w:r>
        <w:t>спорицидной</w:t>
      </w:r>
      <w:proofErr w:type="spellEnd"/>
      <w:r>
        <w:t xml:space="preserve"> активностью; средство эффективно в отношении возбудителей особо опасных инфекций (чума, холера, туляремия, сибирская язва и др.).</w:t>
      </w:r>
    </w:p>
    <w:p w:rsidR="007E4C96" w:rsidRDefault="007E4C96" w:rsidP="007E4C96">
      <w:r>
        <w:t>Растворы средства «АЛЬБАВЕТ» готовят в емкости из любого материала путем интенсивного смешивания средства с водопроводной водой с температурой 30-40 С. Объем используемой емкости должен превышать объем необходимого рабочего раствора средства. Рабочие растворы средства готовы к применению при условии полного растворения порошка в воде. Для подготовки 1л раствора с концентрацией 1% необходимо смешать 990 мл воды с 10г. средства. Дезинфекцию проводят способами протирания, замачивания, погружения и орошения. Профилактическую дезинфекцию проводят 0,15-0,3% раствором средства. Ударную дезинфекцию 2,5 – 5% раствором</w:t>
      </w:r>
      <w:proofErr w:type="gramStart"/>
      <w:r>
        <w:t xml:space="preserve"> .</w:t>
      </w:r>
      <w:proofErr w:type="gramEnd"/>
      <w:r>
        <w:t xml:space="preserve"> Выдержка 10-30 мин. Обеззараживание способом протирания можно проводить в присутствии людей без использования средств индивидуальной защиты. Дезинфекция способом орошения или </w:t>
      </w:r>
      <w:proofErr w:type="spellStart"/>
      <w:r>
        <w:t>аэрозольно</w:t>
      </w:r>
      <w:proofErr w:type="spellEnd"/>
      <w:r>
        <w:t xml:space="preserve"> проводится с использованием средств защиты глаз и органов дыхания в отсутствии незащищенного персонала.</w:t>
      </w:r>
    </w:p>
    <w:p w:rsidR="007E4C96" w:rsidRDefault="007E4C96" w:rsidP="007E4C96">
      <w:r>
        <w:t xml:space="preserve">Хранить средство следует в местах, недоступных детям, отдельно от пищевых продуктов и  лекарственных веществ. По параметрам острой токсичности по ГОСТ 12.1.0076 к 4 классу </w:t>
      </w:r>
      <w:proofErr w:type="gramStart"/>
      <w:r>
        <w:t>малоопасных</w:t>
      </w:r>
      <w:proofErr w:type="gramEnd"/>
      <w:r>
        <w:t xml:space="preserve"> при нанесении на кожу и при ингаляционном воздействии, рабочие растворы средства даже при многократном воздействии не оказывают раздражающего действия на кожу. Средство оказывает выраженное раздражающее действие на слизистые оболочки</w:t>
      </w:r>
      <w:proofErr w:type="gramStart"/>
      <w:r>
        <w:t xml:space="preserve"> .</w:t>
      </w:r>
      <w:proofErr w:type="gramEnd"/>
      <w:r>
        <w:t xml:space="preserve"> Средство следует хранить в оригинальной упаковке изготовителя в закрытом сухом вентилируемом складском помещении, защищённом от попадания прямых солнечных лучей, вдали от нагревательных приборов. Средство транспортируют любым видом наземного транспорта в оригинальных упаковках производителя. </w:t>
      </w:r>
      <w:proofErr w:type="gramStart"/>
      <w:r>
        <w:t>Срок годности средства в невскрытой упаковке производителя (при хранении от минус 5?</w:t>
      </w:r>
      <w:proofErr w:type="gramEnd"/>
      <w:r>
        <w:t xml:space="preserve">С до плюс 30?С) составляет 3 года при условии  соблюдения условий хранения. Рабочие растворы средства в концентрации до 2% включительно используют в течение 7 суток с момента приготовления; Меры безопасности. При попадании средства в глаза немедленно промыть их проточной водой в течение 10-15 минут, затем закапать </w:t>
      </w:r>
      <w:proofErr w:type="spellStart"/>
      <w:r>
        <w:t>сульфацил</w:t>
      </w:r>
      <w:proofErr w:type="spellEnd"/>
      <w:r>
        <w:t xml:space="preserve"> натрия в виде 30% раствора. При попадании средства на кожу вымыть ее большим количеством воды. При случайном попадании средства в желудок необходимо выпить несколько стаканов воды и 10-20 таблеток активированного угля. Рвоту не вызывать! При необходимости обратиться к врачу.</w:t>
      </w:r>
    </w:p>
    <w:p w:rsidR="007E4C96" w:rsidRDefault="007E4C96" w:rsidP="007E4C96"/>
    <w:p w:rsidR="00620CEC" w:rsidRDefault="00620CEC"/>
    <w:sectPr w:rsidR="00620CEC" w:rsidSect="009B59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96"/>
    <w:rsid w:val="00053790"/>
    <w:rsid w:val="00244904"/>
    <w:rsid w:val="002C36A1"/>
    <w:rsid w:val="00545200"/>
    <w:rsid w:val="005767CF"/>
    <w:rsid w:val="00620CEC"/>
    <w:rsid w:val="007E4C96"/>
    <w:rsid w:val="008D0456"/>
    <w:rsid w:val="009B592C"/>
    <w:rsid w:val="00C4333B"/>
    <w:rsid w:val="00D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6"/>
    <w:pPr>
      <w:spacing w:after="160" w:line="256" w:lineRule="auto"/>
      <w:jc w:val="left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C96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Я</cp:lastModifiedBy>
  <cp:revision>3</cp:revision>
  <dcterms:created xsi:type="dcterms:W3CDTF">2020-04-15T09:01:00Z</dcterms:created>
  <dcterms:modified xsi:type="dcterms:W3CDTF">2020-04-15T12:08:00Z</dcterms:modified>
</cp:coreProperties>
</file>